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50" w:rsidRPr="00410D50" w:rsidRDefault="00410D50" w:rsidP="00410D50">
      <w:pPr>
        <w:spacing w:line="360" w:lineRule="auto"/>
        <w:ind w:firstLineChars="200" w:firstLine="562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410D50">
        <w:rPr>
          <w:rFonts w:asciiTheme="minorEastAsia" w:eastAsiaTheme="minorEastAsia" w:hAnsiTheme="minorEastAsia"/>
          <w:b/>
          <w:sz w:val="28"/>
          <w:szCs w:val="28"/>
        </w:rPr>
        <w:t xml:space="preserve"> “高产抗病优质小麦新品种‘川育20’选育及推广”简介</w:t>
      </w:r>
    </w:p>
    <w:p w:rsidR="00410D50" w:rsidRPr="00410D50" w:rsidRDefault="00410D50" w:rsidP="00410D5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10D50">
        <w:rPr>
          <w:rFonts w:asciiTheme="minorEastAsia" w:eastAsiaTheme="minorEastAsia" w:hAnsiTheme="minorEastAsia"/>
          <w:sz w:val="24"/>
          <w:szCs w:val="24"/>
        </w:rPr>
        <w:t>“川育20”是具有高产稳产适应性广、综合抗性好、品质优良等特点的小麦新品种。自审定推广以来，“川育20”种植面积迅速扩大，相继在四川、重庆、陕西、贵州、甘肃、湖北、河南、云南等省市大面积种植，尤其是2009年在国家农业科技成果转化资金项目支持下，对该品种进行了大规模的试验、示范和配套栽培技术研究，为迅速扩大新品种面积提供了种源保障。在“川育20”试验、示范、推广过程中，得到了当地农技推广部门和农民群众的充分认识和支持。在种子繁殖过程中，认真贯彻执行国务院颁布的《种子法》，严格按照农作物繁育、生产的操作技术规程和产品质量要求，建立了稳定的种子生产基地，并且逐户建立繁殖制种档案。利用现代生物技术与常规技术相结合，严格检测和全程监控，为用户提供优良小麦种子。建立并完善售后服务体系，为用户提供相关优质、高产配套栽培技术资料，确保成果顺利推广。</w:t>
      </w:r>
    </w:p>
    <w:p w:rsidR="00410D50" w:rsidRPr="00410D50" w:rsidRDefault="00410D50" w:rsidP="00410D50">
      <w:pPr>
        <w:spacing w:line="360" w:lineRule="auto"/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410D50">
        <w:rPr>
          <w:rFonts w:asciiTheme="minorEastAsia" w:eastAsiaTheme="minorEastAsia" w:hAnsiTheme="minorEastAsia"/>
          <w:sz w:val="24"/>
          <w:szCs w:val="24"/>
        </w:rPr>
        <w:t>到2014年，共培训农民和技术人员630人次，发放培训及宣传资料5000余份，已在四川和湖北建立8个示范片及种子基地，建立了原种繁殖基地1250亩，繁殖原种50万kg，建立了良种繁殖基地四川金堂、广汉，湖北襄阳等3个，面积18500亩，累计良种繁殖面积47500亩，销售种子1663万kg，销售收入6286.03万元，净收入361.53万元。据不完全统计，至2014年，在四川、陕西汉中、湖北襄阳等省市累计推广面积达到2700余万亩，按亩增产20kg计算，共增产小麦54019万kg，价格按每2.4元/kg计算，新增社会经济效益12.9亿元，为农业增产、农民增收和企业增效做出了重要贡献，具有显著的社会经济效益。同时，“川育20”抗条锈病性强，对于减轻因农药施用带来的环境污染、降低农药残毒，增强我国粮食安全、保护农业生态环境、保护人体健康等均具有良好的生态环境效益。预计“十三五”推广种植面积将稳定在3000万亩左右。“川育20”的育成和推广还将在技术路线、选育方法、品种质量、成果推广手段等方面进一步创新。四川省田园种业有限责任公司、成都大川种业等单位参研。</w:t>
      </w:r>
    </w:p>
    <w:p w:rsidR="000A209B" w:rsidRPr="00410D50" w:rsidRDefault="000A209B">
      <w:pPr>
        <w:rPr>
          <w:rFonts w:asciiTheme="minorEastAsia" w:eastAsiaTheme="minorEastAsia" w:hAnsiTheme="minorEastAsia"/>
          <w:sz w:val="24"/>
          <w:szCs w:val="24"/>
        </w:rPr>
      </w:pPr>
    </w:p>
    <w:sectPr w:rsidR="000A209B" w:rsidRPr="00410D50" w:rsidSect="000A2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0D50"/>
    <w:rsid w:val="000A209B"/>
    <w:rsid w:val="00410D50"/>
    <w:rsid w:val="0099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彭丽</dc:creator>
  <cp:lastModifiedBy>彭丽</cp:lastModifiedBy>
  <cp:revision>1</cp:revision>
  <dcterms:created xsi:type="dcterms:W3CDTF">2015-01-21T06:10:00Z</dcterms:created>
  <dcterms:modified xsi:type="dcterms:W3CDTF">2015-01-21T06:11:00Z</dcterms:modified>
</cp:coreProperties>
</file>